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99D4" w14:textId="77777777" w:rsidR="005214EF" w:rsidRDefault="00591ADC">
      <w:bookmarkStart w:id="0" w:name="_GoBack"/>
      <w:bookmarkEnd w:id="0"/>
      <w:r>
        <w:t>Title: Genetic determinants of pre-eclampsia in African American women</w:t>
      </w:r>
    </w:p>
    <w:p w14:paraId="61F9435D" w14:textId="77777777" w:rsidR="00117F97" w:rsidRDefault="00117F97"/>
    <w:p w14:paraId="329A2F76" w14:textId="77777777" w:rsidR="00591ADC" w:rsidRDefault="00591ADC">
      <w:r>
        <w:t>Faculty Mentor: Dr. Rupam Ruchi, MD</w:t>
      </w:r>
    </w:p>
    <w:p w14:paraId="601B9230" w14:textId="77777777" w:rsidR="00591ADC" w:rsidRDefault="00591ADC">
      <w:r>
        <w:tab/>
      </w:r>
      <w:r>
        <w:tab/>
        <w:t>Assistant Professor of Medicine</w:t>
      </w:r>
    </w:p>
    <w:p w14:paraId="1CC430DA" w14:textId="77777777" w:rsidR="00591ADC" w:rsidRDefault="00591ADC">
      <w:r>
        <w:tab/>
      </w:r>
      <w:r>
        <w:tab/>
        <w:t>Division of Nephrology</w:t>
      </w:r>
    </w:p>
    <w:p w14:paraId="2D92E6E0" w14:textId="77777777" w:rsidR="00591ADC" w:rsidRDefault="00591ADC">
      <w:r>
        <w:tab/>
      </w:r>
      <w:r>
        <w:tab/>
        <w:t xml:space="preserve">Email: </w:t>
      </w:r>
      <w:hyperlink r:id="rId6" w:history="1">
        <w:r w:rsidRPr="00A46A33">
          <w:rPr>
            <w:rStyle w:val="Hyperlink"/>
          </w:rPr>
          <w:t>Rupam.Ruchi@medicine.ufl.edu</w:t>
        </w:r>
      </w:hyperlink>
    </w:p>
    <w:p w14:paraId="77AFE462" w14:textId="77777777" w:rsidR="00591ADC" w:rsidRDefault="00591ADC">
      <w:r>
        <w:tab/>
      </w:r>
      <w:r>
        <w:tab/>
        <w:t>Tel number: 248-935-8146</w:t>
      </w:r>
    </w:p>
    <w:p w14:paraId="31D9689B" w14:textId="77777777" w:rsidR="00591ADC" w:rsidRDefault="00591ADC">
      <w:r>
        <w:t>Description:</w:t>
      </w:r>
    </w:p>
    <w:p w14:paraId="7C8ED673" w14:textId="77777777" w:rsidR="00591ADC" w:rsidRDefault="00591ADC">
      <w:r>
        <w:t>Background: preeclampsia is significantly m</w:t>
      </w:r>
      <w:r w:rsidR="00117F97">
        <w:t xml:space="preserve">ore common in African American </w:t>
      </w:r>
      <w:r>
        <w:t>women than Caucasians, even after adjusting for socio-economic risk factors. It is also common in women who have had pre-eclampsia in their previous pregnancies, indicating some genetic causation.</w:t>
      </w:r>
    </w:p>
    <w:p w14:paraId="0EC5F94F" w14:textId="77777777" w:rsidR="00591ADC" w:rsidRDefault="00591ADC"/>
    <w:p w14:paraId="5BFA052B" w14:textId="77777777" w:rsidR="00591ADC" w:rsidRDefault="00591ADC">
      <w:r>
        <w:t xml:space="preserve">Hypothesis: APOL1 is highly expressed in placenta. It recently has been associated with kidney disease in African Americans. We want to determine genetic variants in APOL1 gene and study if they predispose to pre-eclampsia in this population. </w:t>
      </w:r>
    </w:p>
    <w:p w14:paraId="21A528AD" w14:textId="77777777" w:rsidR="00591ADC" w:rsidRDefault="00591ADC"/>
    <w:p w14:paraId="58163775" w14:textId="77777777" w:rsidR="00591ADC" w:rsidRDefault="00591ADC">
      <w:r>
        <w:t xml:space="preserve">Methods: We will recruit patients of pre-eclampsia as well as age, race, parity matched healthy AA controls without pre-eclampsia. We will obtain saliva and/or blood and extract their DNA. We will then genotype them with respect to APOL1 gene variants (sequencing as well as SNP genotyping with </w:t>
      </w:r>
      <w:proofErr w:type="spellStart"/>
      <w:r>
        <w:t>Taqman</w:t>
      </w:r>
      <w:proofErr w:type="spellEnd"/>
      <w:r>
        <w:t>). We will look for any association between the genetic variants and pre-eclampsia</w:t>
      </w:r>
    </w:p>
    <w:p w14:paraId="675A6FB3" w14:textId="77777777" w:rsidR="00591ADC" w:rsidRDefault="00591ADC"/>
    <w:p w14:paraId="137C0AF5" w14:textId="77777777" w:rsidR="00591ADC" w:rsidRDefault="00591ADC">
      <w:r>
        <w:t xml:space="preserve">Role of Medical Student: the medical student will be involved at all levels, and will learn the basics of conducting translational research, and principles of genetics. </w:t>
      </w:r>
    </w:p>
    <w:p w14:paraId="18BD262F" w14:textId="77777777" w:rsidR="007D59E9" w:rsidRDefault="007D59E9"/>
    <w:p w14:paraId="2B6E9000" w14:textId="1423C5C0" w:rsidR="007D59E9" w:rsidRDefault="00DA6B72">
      <w:r>
        <w:t>Funding: through division</w:t>
      </w:r>
    </w:p>
    <w:p w14:paraId="4B9708F2" w14:textId="77777777" w:rsidR="00591ADC" w:rsidRDefault="00591ADC"/>
    <w:p w14:paraId="7C3F078C" w14:textId="77777777" w:rsidR="00591ADC" w:rsidRDefault="00591ADC">
      <w:r>
        <w:t xml:space="preserve">Relevant Publications: </w:t>
      </w:r>
    </w:p>
    <w:p w14:paraId="19118BAF" w14:textId="77777777" w:rsidR="00117F97" w:rsidRPr="00117F97" w:rsidRDefault="008920AD" w:rsidP="00117F97">
      <w:pPr>
        <w:pStyle w:val="ListParagraph"/>
        <w:numPr>
          <w:ilvl w:val="0"/>
          <w:numId w:val="1"/>
        </w:numPr>
        <w:rPr>
          <w:rFonts w:ascii="Times" w:hAnsi="Times" w:cs="Arial"/>
          <w:sz w:val="28"/>
          <w:szCs w:val="28"/>
        </w:rPr>
      </w:pPr>
      <w:hyperlink r:id="rId7" w:history="1">
        <w:r w:rsidR="00117F97" w:rsidRPr="00117F97">
          <w:rPr>
            <w:rFonts w:ascii="Times" w:hAnsi="Times" w:cs="Arial"/>
            <w:sz w:val="28"/>
            <w:szCs w:val="28"/>
          </w:rPr>
          <w:t xml:space="preserve">Pregnancy outcomes among </w:t>
        </w:r>
        <w:r w:rsidR="00117F97" w:rsidRPr="00117F97">
          <w:rPr>
            <w:rFonts w:ascii="Times" w:hAnsi="Times" w:cs="Arial"/>
            <w:bCs/>
            <w:sz w:val="28"/>
            <w:szCs w:val="28"/>
          </w:rPr>
          <w:t>African-American</w:t>
        </w:r>
        <w:r w:rsidR="00117F97" w:rsidRPr="00117F97">
          <w:rPr>
            <w:rFonts w:ascii="Times" w:hAnsi="Times" w:cs="Arial"/>
            <w:sz w:val="28"/>
            <w:szCs w:val="28"/>
          </w:rPr>
          <w:t xml:space="preserve"> patients with systemic lupus erythematosus compared with controls.</w:t>
        </w:r>
      </w:hyperlink>
      <w:r w:rsidR="00117F97" w:rsidRPr="00117F97">
        <w:rPr>
          <w:rFonts w:ascii="Times" w:hAnsi="Times" w:cs="Arial"/>
          <w:sz w:val="28"/>
          <w:szCs w:val="28"/>
        </w:rPr>
        <w:t xml:space="preserve"> </w:t>
      </w:r>
      <w:proofErr w:type="spellStart"/>
      <w:r w:rsidR="00117F97" w:rsidRPr="00117F97">
        <w:rPr>
          <w:rFonts w:ascii="Times" w:hAnsi="Times" w:cs="Arial"/>
          <w:sz w:val="28"/>
          <w:szCs w:val="28"/>
        </w:rPr>
        <w:t>Barnado</w:t>
      </w:r>
      <w:proofErr w:type="spellEnd"/>
      <w:r w:rsidR="00117F97" w:rsidRPr="00117F97">
        <w:rPr>
          <w:rFonts w:ascii="Times" w:hAnsi="Times" w:cs="Arial"/>
          <w:sz w:val="28"/>
          <w:szCs w:val="28"/>
        </w:rPr>
        <w:t xml:space="preserve"> A, </w:t>
      </w:r>
      <w:proofErr w:type="spellStart"/>
      <w:r w:rsidR="00117F97" w:rsidRPr="00117F97">
        <w:rPr>
          <w:rFonts w:ascii="Times" w:hAnsi="Times" w:cs="Arial"/>
          <w:sz w:val="28"/>
          <w:szCs w:val="28"/>
        </w:rPr>
        <w:t>Wheless</w:t>
      </w:r>
      <w:proofErr w:type="spellEnd"/>
      <w:r w:rsidR="00117F97" w:rsidRPr="00117F97">
        <w:rPr>
          <w:rFonts w:ascii="Times" w:hAnsi="Times" w:cs="Arial"/>
          <w:sz w:val="28"/>
          <w:szCs w:val="28"/>
        </w:rPr>
        <w:t xml:space="preserve"> L, Meyer AK, </w:t>
      </w:r>
      <w:proofErr w:type="spellStart"/>
      <w:r w:rsidR="00117F97" w:rsidRPr="00117F97">
        <w:rPr>
          <w:rFonts w:ascii="Times" w:hAnsi="Times" w:cs="Arial"/>
          <w:sz w:val="28"/>
          <w:szCs w:val="28"/>
        </w:rPr>
        <w:t>Gilkeson</w:t>
      </w:r>
      <w:proofErr w:type="spellEnd"/>
      <w:r w:rsidR="00117F97" w:rsidRPr="00117F97">
        <w:rPr>
          <w:rFonts w:ascii="Times" w:hAnsi="Times" w:cs="Arial"/>
          <w:sz w:val="28"/>
          <w:szCs w:val="28"/>
        </w:rPr>
        <w:t xml:space="preserve"> GS, </w:t>
      </w:r>
      <w:proofErr w:type="spellStart"/>
      <w:r w:rsidR="00117F97" w:rsidRPr="00117F97">
        <w:rPr>
          <w:rFonts w:ascii="Times" w:hAnsi="Times" w:cs="Arial"/>
          <w:sz w:val="28"/>
          <w:szCs w:val="28"/>
        </w:rPr>
        <w:t>Kamen</w:t>
      </w:r>
      <w:proofErr w:type="spellEnd"/>
      <w:r w:rsidR="00117F97" w:rsidRPr="00117F97">
        <w:rPr>
          <w:rFonts w:ascii="Times" w:hAnsi="Times" w:cs="Arial"/>
          <w:sz w:val="28"/>
          <w:szCs w:val="28"/>
        </w:rPr>
        <w:t xml:space="preserve"> DL. Lupus </w:t>
      </w:r>
      <w:proofErr w:type="spellStart"/>
      <w:r w:rsidR="00117F97" w:rsidRPr="00117F97">
        <w:rPr>
          <w:rFonts w:ascii="Times" w:hAnsi="Times" w:cs="Arial"/>
          <w:sz w:val="28"/>
          <w:szCs w:val="28"/>
        </w:rPr>
        <w:t>Sci</w:t>
      </w:r>
      <w:proofErr w:type="spellEnd"/>
      <w:r w:rsidR="00117F97" w:rsidRPr="00117F97">
        <w:rPr>
          <w:rFonts w:ascii="Times" w:hAnsi="Times" w:cs="Arial"/>
          <w:sz w:val="28"/>
          <w:szCs w:val="28"/>
        </w:rPr>
        <w:t xml:space="preserve"> Med. 201</w:t>
      </w:r>
      <w:r w:rsidR="00117F97">
        <w:rPr>
          <w:rFonts w:ascii="Times" w:hAnsi="Times" w:cs="Arial"/>
          <w:sz w:val="28"/>
          <w:szCs w:val="28"/>
        </w:rPr>
        <w:t>4 Apr 22;1(1)</w:t>
      </w:r>
    </w:p>
    <w:p w14:paraId="51287BEF" w14:textId="77777777" w:rsidR="00117F97" w:rsidRPr="00117F97" w:rsidRDefault="00117F97" w:rsidP="00117F97">
      <w:pPr>
        <w:pStyle w:val="ListParagraph"/>
        <w:numPr>
          <w:ilvl w:val="0"/>
          <w:numId w:val="1"/>
        </w:numPr>
      </w:pPr>
      <w:proofErr w:type="spellStart"/>
      <w:r w:rsidRPr="00873AB2">
        <w:rPr>
          <w:rFonts w:ascii="Times" w:hAnsi="Times" w:cs="Arial"/>
          <w:sz w:val="28"/>
          <w:szCs w:val="28"/>
        </w:rPr>
        <w:t>Paré</w:t>
      </w:r>
      <w:proofErr w:type="spellEnd"/>
      <w:r w:rsidRPr="00873AB2">
        <w:rPr>
          <w:rFonts w:ascii="Times" w:hAnsi="Times" w:cs="Arial"/>
          <w:sz w:val="28"/>
          <w:szCs w:val="28"/>
        </w:rPr>
        <w:t xml:space="preserve"> E, Parry S, </w:t>
      </w:r>
      <w:proofErr w:type="spellStart"/>
      <w:r w:rsidRPr="00873AB2">
        <w:rPr>
          <w:rFonts w:ascii="Times" w:hAnsi="Times" w:cs="Arial"/>
          <w:sz w:val="28"/>
          <w:szCs w:val="28"/>
        </w:rPr>
        <w:t>McElrath</w:t>
      </w:r>
      <w:proofErr w:type="spellEnd"/>
      <w:r w:rsidRPr="00873AB2">
        <w:rPr>
          <w:rFonts w:ascii="Times" w:hAnsi="Times" w:cs="Arial"/>
          <w:sz w:val="28"/>
          <w:szCs w:val="28"/>
        </w:rPr>
        <w:t xml:space="preserve"> TF, </w:t>
      </w:r>
      <w:proofErr w:type="spellStart"/>
      <w:r w:rsidRPr="00873AB2">
        <w:rPr>
          <w:rFonts w:ascii="Times" w:hAnsi="Times" w:cs="Arial"/>
          <w:sz w:val="28"/>
          <w:szCs w:val="28"/>
        </w:rPr>
        <w:t>Pucci</w:t>
      </w:r>
      <w:proofErr w:type="spellEnd"/>
      <w:r w:rsidRPr="00873AB2">
        <w:rPr>
          <w:rFonts w:ascii="Times" w:hAnsi="Times" w:cs="Arial"/>
          <w:sz w:val="28"/>
          <w:szCs w:val="28"/>
        </w:rPr>
        <w:t xml:space="preserve"> D, Newton A, Lim KH.</w:t>
      </w:r>
      <w:r>
        <w:rPr>
          <w:rFonts w:ascii="Times" w:hAnsi="Times" w:cs="Arial"/>
          <w:sz w:val="28"/>
          <w:szCs w:val="28"/>
        </w:rPr>
        <w:t xml:space="preserve"> </w:t>
      </w:r>
      <w:hyperlink r:id="rId8" w:history="1">
        <w:r w:rsidRPr="00873AB2">
          <w:rPr>
            <w:rFonts w:ascii="Times" w:hAnsi="Times" w:cs="Arial"/>
            <w:sz w:val="28"/>
            <w:szCs w:val="28"/>
          </w:rPr>
          <w:t xml:space="preserve">Clinical risk factors for </w:t>
        </w:r>
        <w:r w:rsidRPr="00873AB2">
          <w:rPr>
            <w:rFonts w:ascii="Times" w:hAnsi="Times" w:cs="Arial"/>
            <w:bCs/>
            <w:sz w:val="28"/>
            <w:szCs w:val="28"/>
          </w:rPr>
          <w:t>preeclampsia</w:t>
        </w:r>
        <w:r w:rsidRPr="00873AB2">
          <w:rPr>
            <w:rFonts w:ascii="Times" w:hAnsi="Times" w:cs="Arial"/>
            <w:sz w:val="28"/>
            <w:szCs w:val="28"/>
          </w:rPr>
          <w:t xml:space="preserve"> in the 21st </w:t>
        </w:r>
        <w:proofErr w:type="spellStart"/>
        <w:r w:rsidRPr="00873AB2">
          <w:rPr>
            <w:rFonts w:ascii="Times" w:hAnsi="Times" w:cs="Arial"/>
            <w:sz w:val="28"/>
            <w:szCs w:val="28"/>
          </w:rPr>
          <w:t>century.</w:t>
        </w:r>
      </w:hyperlink>
      <w:r w:rsidRPr="00873AB2">
        <w:rPr>
          <w:rFonts w:ascii="Times" w:hAnsi="Times" w:cs="Arial"/>
          <w:sz w:val="28"/>
          <w:szCs w:val="28"/>
        </w:rPr>
        <w:t>Obstet</w:t>
      </w:r>
      <w:proofErr w:type="spellEnd"/>
      <w:r w:rsidRPr="00873AB2">
        <w:rPr>
          <w:rFonts w:ascii="Times" w:hAnsi="Times" w:cs="Arial"/>
          <w:sz w:val="28"/>
          <w:szCs w:val="28"/>
        </w:rPr>
        <w:t xml:space="preserve"> Gynecol. 2014 Oct</w:t>
      </w:r>
      <w:proofErr w:type="gramStart"/>
      <w:r w:rsidRPr="00873AB2">
        <w:rPr>
          <w:rFonts w:ascii="Times" w:hAnsi="Times" w:cs="Arial"/>
          <w:sz w:val="28"/>
          <w:szCs w:val="28"/>
        </w:rPr>
        <w:t>;124</w:t>
      </w:r>
      <w:proofErr w:type="gramEnd"/>
      <w:r w:rsidRPr="00873AB2">
        <w:rPr>
          <w:rFonts w:ascii="Times" w:hAnsi="Times" w:cs="Arial"/>
          <w:sz w:val="28"/>
          <w:szCs w:val="28"/>
        </w:rPr>
        <w:t>(4):763-70.</w:t>
      </w:r>
    </w:p>
    <w:p w14:paraId="192764FB" w14:textId="77777777" w:rsidR="00591ADC" w:rsidRPr="00117F97" w:rsidRDefault="008920AD" w:rsidP="00117F97">
      <w:pPr>
        <w:pStyle w:val="ListParagraph"/>
        <w:numPr>
          <w:ilvl w:val="0"/>
          <w:numId w:val="1"/>
        </w:numPr>
      </w:pPr>
      <w:hyperlink r:id="rId9" w:history="1">
        <w:proofErr w:type="spellStart"/>
        <w:r w:rsidR="00117F97" w:rsidRPr="00ED5E48">
          <w:rPr>
            <w:rFonts w:ascii="Times" w:hAnsi="Times" w:cs="Arial"/>
            <w:color w:val="262626"/>
            <w:sz w:val="28"/>
            <w:szCs w:val="28"/>
          </w:rPr>
          <w:t>Breathett</w:t>
        </w:r>
        <w:proofErr w:type="spellEnd"/>
        <w:r w:rsidR="00117F97" w:rsidRPr="00ED5E48">
          <w:rPr>
            <w:rFonts w:ascii="Times" w:hAnsi="Times" w:cs="Arial"/>
            <w:color w:val="262626"/>
            <w:sz w:val="28"/>
            <w:szCs w:val="28"/>
          </w:rPr>
          <w:t xml:space="preserve"> K</w:t>
        </w:r>
      </w:hyperlink>
      <w:r w:rsidR="00117F97" w:rsidRPr="00ED5E48">
        <w:rPr>
          <w:rFonts w:ascii="Times" w:hAnsi="Times" w:cs="Arial"/>
          <w:sz w:val="28"/>
          <w:szCs w:val="28"/>
        </w:rPr>
        <w:t xml:space="preserve">1, </w:t>
      </w:r>
      <w:hyperlink r:id="rId10" w:history="1">
        <w:proofErr w:type="spellStart"/>
        <w:r w:rsidR="00117F97" w:rsidRPr="00ED5E48">
          <w:rPr>
            <w:rFonts w:ascii="Times" w:hAnsi="Times" w:cs="Arial"/>
            <w:color w:val="262626"/>
            <w:sz w:val="28"/>
            <w:szCs w:val="28"/>
          </w:rPr>
          <w:t>Muhlestein</w:t>
        </w:r>
        <w:proofErr w:type="spellEnd"/>
        <w:r w:rsidR="00117F97" w:rsidRPr="00ED5E48">
          <w:rPr>
            <w:rFonts w:ascii="Times" w:hAnsi="Times" w:cs="Arial"/>
            <w:color w:val="262626"/>
            <w:sz w:val="28"/>
            <w:szCs w:val="28"/>
          </w:rPr>
          <w:t xml:space="preserve"> D</w:t>
        </w:r>
      </w:hyperlink>
      <w:r w:rsidR="00117F97" w:rsidRPr="00ED5E48">
        <w:rPr>
          <w:rFonts w:ascii="Times" w:hAnsi="Times" w:cs="Arial"/>
          <w:sz w:val="28"/>
          <w:szCs w:val="28"/>
        </w:rPr>
        <w:t xml:space="preserve">, </w:t>
      </w:r>
      <w:hyperlink r:id="rId11" w:history="1">
        <w:r w:rsidR="00117F97" w:rsidRPr="00ED5E48">
          <w:rPr>
            <w:rFonts w:ascii="Times" w:hAnsi="Times" w:cs="Arial"/>
            <w:color w:val="262626"/>
            <w:sz w:val="28"/>
            <w:szCs w:val="28"/>
          </w:rPr>
          <w:t>Foraker R</w:t>
        </w:r>
      </w:hyperlink>
      <w:r w:rsidR="00117F97" w:rsidRPr="00ED5E48">
        <w:rPr>
          <w:rFonts w:ascii="Times" w:hAnsi="Times" w:cs="Arial"/>
          <w:sz w:val="28"/>
          <w:szCs w:val="28"/>
        </w:rPr>
        <w:t xml:space="preserve">, </w:t>
      </w:r>
      <w:hyperlink r:id="rId12" w:history="1">
        <w:r w:rsidR="00117F97" w:rsidRPr="00ED5E48">
          <w:rPr>
            <w:rFonts w:ascii="Times" w:hAnsi="Times" w:cs="Arial"/>
            <w:color w:val="262626"/>
            <w:sz w:val="28"/>
            <w:szCs w:val="28"/>
          </w:rPr>
          <w:t>Gulati M</w:t>
        </w:r>
      </w:hyperlink>
      <w:r w:rsidR="00117F97" w:rsidRPr="00ED5E48">
        <w:rPr>
          <w:rFonts w:ascii="Times" w:hAnsi="Times" w:cs="Arial"/>
          <w:sz w:val="28"/>
          <w:szCs w:val="28"/>
        </w:rPr>
        <w:t>.</w:t>
      </w:r>
      <w:r w:rsidR="00117F97">
        <w:rPr>
          <w:rFonts w:ascii="Times" w:hAnsi="Times" w:cs="Arial"/>
          <w:sz w:val="28"/>
          <w:szCs w:val="28"/>
        </w:rPr>
        <w:t xml:space="preserve"> </w:t>
      </w:r>
      <w:r w:rsidR="00117F97" w:rsidRPr="009F102F">
        <w:rPr>
          <w:rFonts w:ascii="Times" w:hAnsi="Times" w:cs="Arial"/>
          <w:bCs/>
          <w:sz w:val="28"/>
          <w:szCs w:val="28"/>
        </w:rPr>
        <w:t xml:space="preserve">Differences in preeclampsia rates between African American and Caucasian women: trends from the National Hospital Discharge </w:t>
      </w:r>
      <w:proofErr w:type="spellStart"/>
      <w:r w:rsidR="00117F97" w:rsidRPr="009F102F">
        <w:rPr>
          <w:rFonts w:ascii="Times" w:hAnsi="Times" w:cs="Arial"/>
          <w:bCs/>
          <w:sz w:val="28"/>
          <w:szCs w:val="28"/>
        </w:rPr>
        <w:t>Survey.</w:t>
      </w:r>
      <w:r w:rsidR="00117F97" w:rsidRPr="009F102F">
        <w:rPr>
          <w:rFonts w:ascii="Times" w:hAnsi="Times" w:cs="Arial"/>
          <w:color w:val="262626"/>
          <w:sz w:val="28"/>
          <w:szCs w:val="28"/>
        </w:rPr>
        <w:t>J</w:t>
      </w:r>
      <w:proofErr w:type="spellEnd"/>
      <w:r w:rsidR="00117F97" w:rsidRPr="009F102F">
        <w:rPr>
          <w:rFonts w:ascii="Times" w:hAnsi="Times" w:cs="Arial"/>
          <w:color w:val="262626"/>
          <w:sz w:val="28"/>
          <w:szCs w:val="28"/>
        </w:rPr>
        <w:t xml:space="preserve"> </w:t>
      </w:r>
      <w:proofErr w:type="spellStart"/>
      <w:r w:rsidR="00117F97" w:rsidRPr="009F102F">
        <w:rPr>
          <w:rFonts w:ascii="Times" w:hAnsi="Times" w:cs="Arial"/>
          <w:color w:val="262626"/>
          <w:sz w:val="28"/>
          <w:szCs w:val="28"/>
        </w:rPr>
        <w:t>Womens</w:t>
      </w:r>
      <w:proofErr w:type="spellEnd"/>
      <w:r w:rsidR="00117F97" w:rsidRPr="009F102F">
        <w:rPr>
          <w:rFonts w:ascii="Times" w:hAnsi="Times" w:cs="Arial"/>
          <w:color w:val="262626"/>
          <w:sz w:val="28"/>
          <w:szCs w:val="28"/>
        </w:rPr>
        <w:t xml:space="preserve"> Health (</w:t>
      </w:r>
      <w:proofErr w:type="spellStart"/>
      <w:r w:rsidR="00117F97" w:rsidRPr="009F102F">
        <w:rPr>
          <w:rFonts w:ascii="Times" w:hAnsi="Times" w:cs="Arial"/>
          <w:color w:val="262626"/>
          <w:sz w:val="28"/>
          <w:szCs w:val="28"/>
        </w:rPr>
        <w:t>Larchmt</w:t>
      </w:r>
      <w:proofErr w:type="spellEnd"/>
      <w:r w:rsidR="00117F97" w:rsidRPr="009F102F">
        <w:rPr>
          <w:rFonts w:ascii="Times" w:hAnsi="Times" w:cs="Arial"/>
          <w:color w:val="262626"/>
          <w:sz w:val="28"/>
          <w:szCs w:val="28"/>
        </w:rPr>
        <w:t>).</w:t>
      </w:r>
      <w:r w:rsidR="00117F97" w:rsidRPr="009F102F">
        <w:rPr>
          <w:rFonts w:ascii="Times" w:hAnsi="Times" w:cs="Arial"/>
          <w:sz w:val="28"/>
          <w:szCs w:val="28"/>
        </w:rPr>
        <w:t xml:space="preserve"> 2014 Nov</w:t>
      </w:r>
      <w:proofErr w:type="gramStart"/>
      <w:r w:rsidR="00117F97" w:rsidRPr="009F102F">
        <w:rPr>
          <w:rFonts w:ascii="Times" w:hAnsi="Times" w:cs="Arial"/>
          <w:sz w:val="28"/>
          <w:szCs w:val="28"/>
        </w:rPr>
        <w:t>;23</w:t>
      </w:r>
      <w:proofErr w:type="gramEnd"/>
      <w:r w:rsidR="00117F97" w:rsidRPr="009F102F">
        <w:rPr>
          <w:rFonts w:ascii="Times" w:hAnsi="Times" w:cs="Arial"/>
          <w:sz w:val="28"/>
          <w:szCs w:val="28"/>
        </w:rPr>
        <w:t xml:space="preserve">(11):886-93. </w:t>
      </w:r>
    </w:p>
    <w:p w14:paraId="1759ACE7" w14:textId="77777777" w:rsidR="00117F97" w:rsidRPr="007D59E9" w:rsidRDefault="008920AD" w:rsidP="00117F97">
      <w:pPr>
        <w:pStyle w:val="ListParagraph"/>
        <w:numPr>
          <w:ilvl w:val="0"/>
          <w:numId w:val="1"/>
        </w:numPr>
      </w:pPr>
      <w:hyperlink r:id="rId13" w:history="1">
        <w:r w:rsidR="00117F97" w:rsidRPr="001174BD">
          <w:rPr>
            <w:rFonts w:ascii="Times" w:hAnsi="Times" w:cs="Arial"/>
            <w:sz w:val="28"/>
            <w:szCs w:val="28"/>
          </w:rPr>
          <w:t>Page NM</w:t>
        </w:r>
      </w:hyperlink>
      <w:r w:rsidR="00117F97" w:rsidRPr="001174BD">
        <w:rPr>
          <w:rFonts w:ascii="Times" w:hAnsi="Times" w:cs="Arial"/>
          <w:sz w:val="28"/>
          <w:szCs w:val="28"/>
        </w:rPr>
        <w:t xml:space="preserve">1, </w:t>
      </w:r>
      <w:hyperlink r:id="rId14" w:history="1">
        <w:proofErr w:type="spellStart"/>
        <w:r w:rsidR="00117F97" w:rsidRPr="001174BD">
          <w:rPr>
            <w:rFonts w:ascii="Times" w:hAnsi="Times" w:cs="Arial"/>
            <w:sz w:val="28"/>
            <w:szCs w:val="28"/>
          </w:rPr>
          <w:t>Butlin</w:t>
        </w:r>
        <w:proofErr w:type="spellEnd"/>
        <w:r w:rsidR="00117F97" w:rsidRPr="001174BD">
          <w:rPr>
            <w:rFonts w:ascii="Times" w:hAnsi="Times" w:cs="Arial"/>
            <w:sz w:val="28"/>
            <w:szCs w:val="28"/>
          </w:rPr>
          <w:t xml:space="preserve"> DJ</w:t>
        </w:r>
      </w:hyperlink>
      <w:r w:rsidR="00117F97" w:rsidRPr="001174BD">
        <w:rPr>
          <w:rFonts w:ascii="Times" w:hAnsi="Times" w:cs="Arial"/>
          <w:sz w:val="28"/>
          <w:szCs w:val="28"/>
        </w:rPr>
        <w:t xml:space="preserve">, </w:t>
      </w:r>
      <w:hyperlink r:id="rId15" w:history="1">
        <w:proofErr w:type="spellStart"/>
        <w:r w:rsidR="00117F97" w:rsidRPr="001174BD">
          <w:rPr>
            <w:rFonts w:ascii="Times" w:hAnsi="Times" w:cs="Arial"/>
            <w:sz w:val="28"/>
            <w:szCs w:val="28"/>
          </w:rPr>
          <w:t>Lomthaisong</w:t>
        </w:r>
        <w:proofErr w:type="spellEnd"/>
        <w:r w:rsidR="00117F97" w:rsidRPr="001174BD">
          <w:rPr>
            <w:rFonts w:ascii="Times" w:hAnsi="Times" w:cs="Arial"/>
            <w:sz w:val="28"/>
            <w:szCs w:val="28"/>
          </w:rPr>
          <w:t xml:space="preserve"> K</w:t>
        </w:r>
      </w:hyperlink>
      <w:r w:rsidR="00117F97" w:rsidRPr="001174BD">
        <w:rPr>
          <w:rFonts w:ascii="Times" w:hAnsi="Times" w:cs="Arial"/>
          <w:sz w:val="28"/>
          <w:szCs w:val="28"/>
        </w:rPr>
        <w:t xml:space="preserve">, </w:t>
      </w:r>
      <w:hyperlink r:id="rId16" w:history="1">
        <w:r w:rsidR="00117F97" w:rsidRPr="001174BD">
          <w:rPr>
            <w:rFonts w:ascii="Times" w:hAnsi="Times" w:cs="Arial"/>
            <w:sz w:val="28"/>
            <w:szCs w:val="28"/>
          </w:rPr>
          <w:t xml:space="preserve">Lowry </w:t>
        </w:r>
        <w:proofErr w:type="spellStart"/>
        <w:r w:rsidR="00117F97" w:rsidRPr="001174BD">
          <w:rPr>
            <w:rFonts w:ascii="Times" w:hAnsi="Times" w:cs="Arial"/>
            <w:sz w:val="28"/>
            <w:szCs w:val="28"/>
          </w:rPr>
          <w:t>PJ</w:t>
        </w:r>
      </w:hyperlink>
      <w:r w:rsidR="00117F97" w:rsidRPr="001174BD">
        <w:rPr>
          <w:rFonts w:ascii="Times" w:hAnsi="Times" w:cs="Arial"/>
          <w:sz w:val="28"/>
          <w:szCs w:val="28"/>
        </w:rPr>
        <w:t>.</w:t>
      </w:r>
      <w:r w:rsidR="00117F97" w:rsidRPr="001174BD">
        <w:rPr>
          <w:rFonts w:ascii="Times" w:hAnsi="Times" w:cs="Arial"/>
          <w:bCs/>
          <w:sz w:val="28"/>
          <w:szCs w:val="28"/>
        </w:rPr>
        <w:t>The</w:t>
      </w:r>
      <w:proofErr w:type="spellEnd"/>
      <w:r w:rsidR="00117F97" w:rsidRPr="001174BD">
        <w:rPr>
          <w:rFonts w:ascii="Times" w:hAnsi="Times" w:cs="Arial"/>
          <w:bCs/>
          <w:sz w:val="28"/>
          <w:szCs w:val="28"/>
        </w:rPr>
        <w:t xml:space="preserve"> human </w:t>
      </w:r>
      <w:proofErr w:type="spellStart"/>
      <w:r w:rsidR="00117F97" w:rsidRPr="001174BD">
        <w:rPr>
          <w:rFonts w:ascii="Times" w:hAnsi="Times" w:cs="Arial"/>
          <w:bCs/>
          <w:sz w:val="28"/>
          <w:szCs w:val="28"/>
        </w:rPr>
        <w:t>apolipoprotein</w:t>
      </w:r>
      <w:proofErr w:type="spellEnd"/>
      <w:r w:rsidR="00117F97" w:rsidRPr="001174BD">
        <w:rPr>
          <w:rFonts w:ascii="Times" w:hAnsi="Times" w:cs="Arial"/>
          <w:bCs/>
          <w:sz w:val="28"/>
          <w:szCs w:val="28"/>
        </w:rPr>
        <w:t xml:space="preserve"> L gene cluster: identification, classification, and sites of distribution. </w:t>
      </w:r>
      <w:r w:rsidR="00117F97" w:rsidRPr="001174BD">
        <w:rPr>
          <w:rFonts w:ascii="Times" w:hAnsi="Times" w:cs="Arial"/>
          <w:sz w:val="28"/>
          <w:szCs w:val="28"/>
        </w:rPr>
        <w:t>Genomics. 2001 May 15</w:t>
      </w:r>
      <w:proofErr w:type="gramStart"/>
      <w:r w:rsidR="00117F97" w:rsidRPr="001174BD">
        <w:rPr>
          <w:rFonts w:ascii="Times" w:hAnsi="Times" w:cs="Arial"/>
          <w:sz w:val="28"/>
          <w:szCs w:val="28"/>
        </w:rPr>
        <w:t>;74</w:t>
      </w:r>
      <w:proofErr w:type="gramEnd"/>
      <w:r w:rsidR="00117F97" w:rsidRPr="001174BD">
        <w:rPr>
          <w:rFonts w:ascii="Times" w:hAnsi="Times" w:cs="Arial"/>
          <w:sz w:val="28"/>
          <w:szCs w:val="28"/>
        </w:rPr>
        <w:t>(1):71-8.</w:t>
      </w:r>
    </w:p>
    <w:p w14:paraId="664AEAD7" w14:textId="77777777" w:rsidR="007D59E9" w:rsidRDefault="007D59E9" w:rsidP="007D59E9"/>
    <w:sectPr w:rsidR="007D59E9" w:rsidSect="003F0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261"/>
    <w:multiLevelType w:val="hybridMultilevel"/>
    <w:tmpl w:val="9EA01036"/>
    <w:lvl w:ilvl="0" w:tplc="140A4B1A">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DC"/>
    <w:rsid w:val="00117F97"/>
    <w:rsid w:val="003F015B"/>
    <w:rsid w:val="005214EF"/>
    <w:rsid w:val="00591ADC"/>
    <w:rsid w:val="007D59E9"/>
    <w:rsid w:val="008920AD"/>
    <w:rsid w:val="00DA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6F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ADC"/>
    <w:rPr>
      <w:color w:val="0000FF" w:themeColor="hyperlink"/>
      <w:u w:val="single"/>
    </w:rPr>
  </w:style>
  <w:style w:type="character" w:styleId="FollowedHyperlink">
    <w:name w:val="FollowedHyperlink"/>
    <w:basedOn w:val="DefaultParagraphFont"/>
    <w:uiPriority w:val="99"/>
    <w:semiHidden/>
    <w:unhideWhenUsed/>
    <w:rsid w:val="00591ADC"/>
    <w:rPr>
      <w:color w:val="800080" w:themeColor="followedHyperlink"/>
      <w:u w:val="single"/>
    </w:rPr>
  </w:style>
  <w:style w:type="paragraph" w:styleId="ListParagraph">
    <w:name w:val="List Paragraph"/>
    <w:basedOn w:val="Normal"/>
    <w:uiPriority w:val="34"/>
    <w:qFormat/>
    <w:rsid w:val="00117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ADC"/>
    <w:rPr>
      <w:color w:val="0000FF" w:themeColor="hyperlink"/>
      <w:u w:val="single"/>
    </w:rPr>
  </w:style>
  <w:style w:type="character" w:styleId="FollowedHyperlink">
    <w:name w:val="FollowedHyperlink"/>
    <w:basedOn w:val="DefaultParagraphFont"/>
    <w:uiPriority w:val="99"/>
    <w:semiHidden/>
    <w:unhideWhenUsed/>
    <w:rsid w:val="00591ADC"/>
    <w:rPr>
      <w:color w:val="800080" w:themeColor="followedHyperlink"/>
      <w:u w:val="single"/>
    </w:rPr>
  </w:style>
  <w:style w:type="paragraph" w:styleId="ListParagraph">
    <w:name w:val="List Paragraph"/>
    <w:basedOn w:val="Normal"/>
    <w:uiPriority w:val="34"/>
    <w:qFormat/>
    <w:rsid w:val="00117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lp.hscl.ufl.edu/pubmed/25198274" TargetMode="External"/><Relationship Id="rId13" Type="http://schemas.openxmlformats.org/officeDocument/2006/relationships/hyperlink" Target="http://www-ncbi-nlm-nih-gov.lp.hscl.ufl.edu/pubmed/?term=Page%20NM%5BAuthor%5D&amp;cauthor=true&amp;cauthor_uid=113749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lp.hscl.ufl.edu/pubmed/25360323" TargetMode="External"/><Relationship Id="rId12" Type="http://schemas.openxmlformats.org/officeDocument/2006/relationships/hyperlink" Target="http://www-ncbi-nlm-nih-gov.lp.hscl.ufl.edu/pubmed/?term=Gulati%20M%5BAuthor%5D&amp;cauthor=true&amp;cauthor_uid=2521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lp.hscl.ufl.edu/pubmed/?term=Lowry%20PJ%5BAuthor%5D&amp;cauthor=true&amp;cauthor_uid=11374903" TargetMode="External"/><Relationship Id="rId1" Type="http://schemas.openxmlformats.org/officeDocument/2006/relationships/numbering" Target="numbering.xml"/><Relationship Id="rId6" Type="http://schemas.openxmlformats.org/officeDocument/2006/relationships/hyperlink" Target="mailto:Rupam.Ruchi@medicine.ufl.edu" TargetMode="External"/><Relationship Id="rId11" Type="http://schemas.openxmlformats.org/officeDocument/2006/relationships/hyperlink" Target="http://www-ncbi-nlm-nih-gov.lp.hscl.ufl.edu/pubmed/?term=Foraker%20R%5BAuthor%5D&amp;cauthor=true&amp;cauthor_uid=25211000" TargetMode="External"/><Relationship Id="rId5" Type="http://schemas.openxmlformats.org/officeDocument/2006/relationships/webSettings" Target="webSettings.xml"/><Relationship Id="rId15" Type="http://schemas.openxmlformats.org/officeDocument/2006/relationships/hyperlink" Target="http://www-ncbi-nlm-nih-gov.lp.hscl.ufl.edu/pubmed/?term=Lomthaisong%20K%5BAuthor%5D&amp;cauthor=true&amp;cauthor_uid=11374903" TargetMode="External"/><Relationship Id="rId10" Type="http://schemas.openxmlformats.org/officeDocument/2006/relationships/hyperlink" Target="http://www-ncbi-nlm-nih-gov.lp.hscl.ufl.edu/pubmed/?term=Muhlestein%20D%5BAuthor%5D&amp;cauthor=true&amp;cauthor_uid=25211000" TargetMode="External"/><Relationship Id="rId4" Type="http://schemas.openxmlformats.org/officeDocument/2006/relationships/settings" Target="settings.xml"/><Relationship Id="rId9" Type="http://schemas.openxmlformats.org/officeDocument/2006/relationships/hyperlink" Target="http://www-ncbi-nlm-nih-gov.lp.hscl.ufl.edu/pubmed/?term=Breathett%20K%5BAuthor%5D&amp;cauthor=true&amp;cauthor_uid=25211000" TargetMode="External"/><Relationship Id="rId14" Type="http://schemas.openxmlformats.org/officeDocument/2006/relationships/hyperlink" Target="http://www-ncbi-nlm-nih-gov.lp.hscl.ufl.edu/pubmed/?term=Butlin%20DJ%5BAuthor%5D&amp;cauthor=true&amp;cauthor_uid=11374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BIDMC</dc:creator>
  <cp:lastModifiedBy>Murphy,Shawn K</cp:lastModifiedBy>
  <cp:revision>2</cp:revision>
  <dcterms:created xsi:type="dcterms:W3CDTF">2015-10-20T19:46:00Z</dcterms:created>
  <dcterms:modified xsi:type="dcterms:W3CDTF">2015-10-20T19:46:00Z</dcterms:modified>
</cp:coreProperties>
</file>