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D396F" w14:textId="490ED422" w:rsidR="004D3419" w:rsidRPr="004D3419" w:rsidRDefault="004D3419" w:rsidP="004D3419">
      <w:pPr>
        <w:widowControl w:val="0"/>
        <w:autoSpaceDE w:val="0"/>
        <w:autoSpaceDN w:val="0"/>
        <w:adjustRightInd w:val="0"/>
        <w:rPr>
          <w:rFonts w:ascii="Times New Roman" w:hAnsi="Times New Roman" w:cs="Times New Roman"/>
        </w:rPr>
      </w:pPr>
      <w:bookmarkStart w:id="0" w:name="_GoBack"/>
      <w:bookmarkEnd w:id="0"/>
      <w:r w:rsidRPr="004D3419">
        <w:rPr>
          <w:rFonts w:ascii="Arial" w:hAnsi="Arial" w:cs="Arial"/>
          <w:b/>
          <w:bCs/>
          <w:u w:val="single"/>
        </w:rPr>
        <w:t>FORMAT FOR BRIEF DESCRIPTION OF RESEARCH PROJECT FOR SUMMER 201</w:t>
      </w:r>
      <w:r w:rsidR="005A14BA">
        <w:rPr>
          <w:rFonts w:ascii="Arial" w:hAnsi="Arial" w:cs="Arial"/>
          <w:b/>
          <w:bCs/>
          <w:u w:val="single"/>
        </w:rPr>
        <w:t>6</w:t>
      </w:r>
    </w:p>
    <w:p w14:paraId="1541415A" w14:textId="77777777" w:rsidR="004D3419" w:rsidRPr="004D3419" w:rsidRDefault="004D3419" w:rsidP="004D3419">
      <w:pPr>
        <w:widowControl w:val="0"/>
        <w:autoSpaceDE w:val="0"/>
        <w:autoSpaceDN w:val="0"/>
        <w:adjustRightInd w:val="0"/>
        <w:rPr>
          <w:rFonts w:ascii="Times New Roman" w:hAnsi="Times New Roman" w:cs="Times New Roman"/>
        </w:rPr>
      </w:pPr>
      <w:r w:rsidRPr="004D3419">
        <w:rPr>
          <w:rFonts w:ascii="Times New Roman" w:hAnsi="Times New Roman" w:cs="Times New Roman"/>
        </w:rPr>
        <w:t> </w:t>
      </w:r>
    </w:p>
    <w:p w14:paraId="0374CE00" w14:textId="77777777" w:rsidR="004D3419" w:rsidRPr="00D14BC3" w:rsidRDefault="004D3419" w:rsidP="004D3419">
      <w:pPr>
        <w:rPr>
          <w:rFonts w:ascii="Arial" w:hAnsi="Arial" w:cs="Arial"/>
          <w:b/>
          <w:sz w:val="22"/>
          <w:szCs w:val="22"/>
        </w:rPr>
      </w:pPr>
      <w:r w:rsidRPr="004D3419">
        <w:rPr>
          <w:rFonts w:ascii="Arial" w:hAnsi="Arial" w:cs="Arial"/>
          <w:b/>
          <w:bCs/>
          <w:u w:val="single"/>
        </w:rPr>
        <w:t>TITLE:</w:t>
      </w:r>
      <w:r>
        <w:rPr>
          <w:rFonts w:ascii="Arial" w:hAnsi="Arial" w:cs="Arial"/>
          <w:b/>
          <w:bCs/>
        </w:rPr>
        <w:t xml:space="preserve">  </w:t>
      </w:r>
      <w:r w:rsidRPr="004D3419">
        <w:rPr>
          <w:rFonts w:ascii="Arial" w:hAnsi="Arial" w:cs="Arial"/>
          <w:sz w:val="22"/>
          <w:szCs w:val="22"/>
        </w:rPr>
        <w:t>Anemia and the Chronic Hyperadrenergic State following Major Trauma</w:t>
      </w:r>
    </w:p>
    <w:p w14:paraId="330F813C" w14:textId="77777777" w:rsidR="004D3419" w:rsidRPr="004D3419" w:rsidRDefault="004D3419" w:rsidP="004D3419">
      <w:pPr>
        <w:widowControl w:val="0"/>
        <w:autoSpaceDE w:val="0"/>
        <w:autoSpaceDN w:val="0"/>
        <w:adjustRightInd w:val="0"/>
        <w:rPr>
          <w:rFonts w:ascii="Times New Roman" w:hAnsi="Times New Roman" w:cs="Times New Roman"/>
        </w:rPr>
      </w:pPr>
    </w:p>
    <w:p w14:paraId="74DDAD37" w14:textId="77777777" w:rsidR="004D3419" w:rsidRPr="004D3419" w:rsidRDefault="004D3419" w:rsidP="004D3419">
      <w:pPr>
        <w:widowControl w:val="0"/>
        <w:autoSpaceDE w:val="0"/>
        <w:autoSpaceDN w:val="0"/>
        <w:adjustRightInd w:val="0"/>
        <w:rPr>
          <w:rFonts w:ascii="Times New Roman" w:hAnsi="Times New Roman" w:cs="Times New Roman"/>
        </w:rPr>
      </w:pPr>
      <w:r w:rsidRPr="004D3419">
        <w:rPr>
          <w:rFonts w:ascii="Times New Roman" w:hAnsi="Times New Roman" w:cs="Times New Roman"/>
        </w:rPr>
        <w:t> </w:t>
      </w:r>
    </w:p>
    <w:p w14:paraId="774B0FB0" w14:textId="77777777" w:rsidR="004D3419" w:rsidRDefault="004D3419" w:rsidP="004D3419">
      <w:pPr>
        <w:widowControl w:val="0"/>
        <w:autoSpaceDE w:val="0"/>
        <w:autoSpaceDN w:val="0"/>
        <w:adjustRightInd w:val="0"/>
        <w:rPr>
          <w:rFonts w:ascii="Arial" w:hAnsi="Arial" w:cs="Arial"/>
          <w:bCs/>
          <w:sz w:val="22"/>
          <w:szCs w:val="22"/>
        </w:rPr>
      </w:pPr>
      <w:r w:rsidRPr="004D3419">
        <w:rPr>
          <w:rFonts w:ascii="Arial" w:hAnsi="Arial" w:cs="Arial"/>
          <w:b/>
          <w:bCs/>
          <w:u w:val="single"/>
        </w:rPr>
        <w:t>FACULTY MENTOR NAME, EMAIL PHONE NUMBER</w:t>
      </w:r>
      <w:r>
        <w:rPr>
          <w:rFonts w:ascii="Arial" w:hAnsi="Arial" w:cs="Arial"/>
          <w:b/>
          <w:bCs/>
          <w:u w:val="single"/>
        </w:rPr>
        <w:t>:</w:t>
      </w:r>
      <w:r>
        <w:rPr>
          <w:rFonts w:ascii="Arial" w:hAnsi="Arial" w:cs="Arial"/>
          <w:bCs/>
        </w:rPr>
        <w:t xml:space="preserve"> </w:t>
      </w:r>
      <w:r>
        <w:rPr>
          <w:rFonts w:ascii="Arial" w:hAnsi="Arial" w:cs="Arial"/>
          <w:bCs/>
        </w:rPr>
        <w:tab/>
      </w:r>
      <w:r>
        <w:rPr>
          <w:rFonts w:ascii="Arial" w:hAnsi="Arial" w:cs="Arial"/>
          <w:bCs/>
          <w:sz w:val="22"/>
          <w:szCs w:val="22"/>
        </w:rPr>
        <w:t>Alicia M. Mohr, MD</w:t>
      </w:r>
    </w:p>
    <w:p w14:paraId="15A5C4C2" w14:textId="77777777" w:rsidR="004D3419" w:rsidRDefault="004D3419" w:rsidP="004D3419">
      <w:pPr>
        <w:widowControl w:val="0"/>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hyperlink r:id="rId6" w:history="1">
        <w:r w:rsidRPr="00B5007F">
          <w:rPr>
            <w:rStyle w:val="Hyperlink"/>
            <w:rFonts w:ascii="Arial" w:hAnsi="Arial" w:cs="Arial"/>
            <w:bCs/>
            <w:sz w:val="22"/>
            <w:szCs w:val="22"/>
          </w:rPr>
          <w:t>alicia.mohr@surgery.ufl.edu</w:t>
        </w:r>
      </w:hyperlink>
    </w:p>
    <w:p w14:paraId="1379F6A9" w14:textId="77777777" w:rsidR="004D3419" w:rsidRPr="004D3419" w:rsidRDefault="004D3419" w:rsidP="004D3419">
      <w:pPr>
        <w:widowControl w:val="0"/>
        <w:autoSpaceDE w:val="0"/>
        <w:autoSpaceDN w:val="0"/>
        <w:adjustRightInd w:val="0"/>
        <w:rPr>
          <w:rFonts w:ascii="Times New Roman" w:hAnsi="Times New Roman" w:cs="Times New Roman"/>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(352) 273-5681</w:t>
      </w:r>
    </w:p>
    <w:p w14:paraId="48F85D01" w14:textId="77777777" w:rsidR="004D3419" w:rsidRPr="004D3419" w:rsidRDefault="004D3419" w:rsidP="004D3419">
      <w:pPr>
        <w:widowControl w:val="0"/>
        <w:autoSpaceDE w:val="0"/>
        <w:autoSpaceDN w:val="0"/>
        <w:adjustRightInd w:val="0"/>
        <w:rPr>
          <w:rFonts w:ascii="Times New Roman" w:hAnsi="Times New Roman" w:cs="Times New Roman"/>
        </w:rPr>
      </w:pPr>
      <w:r w:rsidRPr="004D3419">
        <w:rPr>
          <w:rFonts w:ascii="Times New Roman" w:hAnsi="Times New Roman" w:cs="Times New Roman"/>
        </w:rPr>
        <w:t> </w:t>
      </w:r>
    </w:p>
    <w:p w14:paraId="7B14BE42" w14:textId="77777777" w:rsidR="004D3419" w:rsidRPr="004D3419" w:rsidRDefault="004D3419" w:rsidP="004D3419">
      <w:pPr>
        <w:widowControl w:val="0"/>
        <w:autoSpaceDE w:val="0"/>
        <w:autoSpaceDN w:val="0"/>
        <w:adjustRightInd w:val="0"/>
        <w:rPr>
          <w:rFonts w:ascii="Times New Roman" w:hAnsi="Times New Roman" w:cs="Times New Roman"/>
          <w:sz w:val="22"/>
          <w:szCs w:val="22"/>
        </w:rPr>
      </w:pPr>
      <w:r w:rsidRPr="004D3419">
        <w:rPr>
          <w:rFonts w:ascii="Arial" w:hAnsi="Arial" w:cs="Arial"/>
          <w:b/>
          <w:bCs/>
          <w:u w:val="single"/>
        </w:rPr>
        <w:t>FACULTY MENTOR DEPARTMENT</w:t>
      </w:r>
      <w:r>
        <w:rPr>
          <w:rFonts w:ascii="Arial" w:hAnsi="Arial" w:cs="Arial"/>
          <w:b/>
          <w:bCs/>
          <w:u w:val="single"/>
        </w:rPr>
        <w:t>:</w:t>
      </w:r>
      <w:r>
        <w:rPr>
          <w:rFonts w:ascii="Arial" w:hAnsi="Arial" w:cs="Arial"/>
          <w:bCs/>
        </w:rPr>
        <w:t xml:space="preserve">  </w:t>
      </w:r>
      <w:r>
        <w:rPr>
          <w:rFonts w:ascii="Arial" w:hAnsi="Arial" w:cs="Arial"/>
          <w:bCs/>
          <w:sz w:val="22"/>
          <w:szCs w:val="22"/>
        </w:rPr>
        <w:t>Surgery</w:t>
      </w:r>
    </w:p>
    <w:p w14:paraId="65D3F471" w14:textId="77777777" w:rsidR="004D3419" w:rsidRPr="004D3419" w:rsidRDefault="004D3419" w:rsidP="004D3419">
      <w:pPr>
        <w:widowControl w:val="0"/>
        <w:autoSpaceDE w:val="0"/>
        <w:autoSpaceDN w:val="0"/>
        <w:adjustRightInd w:val="0"/>
        <w:rPr>
          <w:rFonts w:ascii="Times New Roman" w:hAnsi="Times New Roman" w:cs="Times New Roman"/>
        </w:rPr>
      </w:pPr>
      <w:r w:rsidRPr="004D3419">
        <w:rPr>
          <w:rFonts w:ascii="Times New Roman" w:hAnsi="Times New Roman" w:cs="Times New Roman"/>
        </w:rPr>
        <w:t> </w:t>
      </w:r>
    </w:p>
    <w:p w14:paraId="0F5586AB" w14:textId="77777777" w:rsidR="008717B0" w:rsidRDefault="004D3419" w:rsidP="004D3419">
      <w:pPr>
        <w:rPr>
          <w:rFonts w:ascii="Arial" w:hAnsi="Arial" w:cs="Arial"/>
        </w:rPr>
      </w:pPr>
      <w:r w:rsidRPr="004D3419">
        <w:rPr>
          <w:rFonts w:ascii="Arial" w:hAnsi="Arial" w:cs="Arial"/>
          <w:b/>
          <w:bCs/>
          <w:u w:val="single"/>
        </w:rPr>
        <w:t>RESEARCH PROJECT DESCRIPTION</w:t>
      </w:r>
      <w:r w:rsidRPr="004D3419">
        <w:rPr>
          <w:rFonts w:ascii="Arial" w:hAnsi="Arial" w:cs="Arial"/>
        </w:rPr>
        <w:t>   (brief overview of background, hypothesis, methods, role of medical student, funding and relevant publications -- SHOULD NOT EXCEED ~ 250 WORDS)</w:t>
      </w:r>
    </w:p>
    <w:p w14:paraId="5F1C0C03" w14:textId="359010E7" w:rsidR="00703EF5" w:rsidRPr="006B386B" w:rsidRDefault="00703EF5" w:rsidP="006B386B">
      <w:pPr>
        <w:pStyle w:val="DataField11pt-Single"/>
        <w:ind w:left="360" w:right="-90"/>
        <w:rPr>
          <w:szCs w:val="22"/>
        </w:rPr>
      </w:pPr>
      <w:r w:rsidRPr="00DA38B0">
        <w:t xml:space="preserve">Injury-associated persistent anemia is </w:t>
      </w:r>
      <w:r>
        <w:t xml:space="preserve">a persistent anemia seen in the absence of acute blood loss and is </w:t>
      </w:r>
      <w:r w:rsidRPr="00DA38B0">
        <w:t xml:space="preserve">one manifestation of </w:t>
      </w:r>
      <w:r w:rsidR="005A14BA">
        <w:t>bone marrow</w:t>
      </w:r>
      <w:r>
        <w:t xml:space="preserve"> </w:t>
      </w:r>
      <w:r w:rsidRPr="00DA38B0">
        <w:t xml:space="preserve">end organ dysfunction that occurs following severe trauma and prolonged critical illness. </w:t>
      </w:r>
      <w:r w:rsidRPr="00D14BC3">
        <w:rPr>
          <w:szCs w:val="22"/>
        </w:rPr>
        <w:t>We have recent data showing that norepinephrine is a key regulator of erythroid progenitor cell growth and mobilization following trauma, although the exact mechanisms invo</w:t>
      </w:r>
      <w:r w:rsidR="006B386B">
        <w:rPr>
          <w:szCs w:val="22"/>
        </w:rPr>
        <w:t xml:space="preserve">lved have yet to be elucidated. </w:t>
      </w:r>
      <w:r w:rsidRPr="00703EF5">
        <w:rPr>
          <w:bCs/>
          <w:szCs w:val="22"/>
        </w:rPr>
        <w:t xml:space="preserve">The central hypothesis is </w:t>
      </w:r>
      <w:r w:rsidRPr="00703EF5">
        <w:rPr>
          <w:bCs/>
          <w:noProof/>
          <w:szCs w:val="22"/>
        </w:rPr>
        <w:t xml:space="preserve">that </w:t>
      </w:r>
      <w:r w:rsidRPr="00703EF5">
        <w:rPr>
          <w:bCs/>
          <w:noProof/>
          <w:szCs w:val="22"/>
          <w:u w:val="single"/>
        </w:rPr>
        <w:t>chronic</w:t>
      </w:r>
      <w:r w:rsidRPr="00703EF5">
        <w:rPr>
          <w:bCs/>
          <w:noProof/>
          <w:szCs w:val="22"/>
        </w:rPr>
        <w:t xml:space="preserve"> adrenergic stimulation following injury and hemorrhagic shock worsens BM dysfunction by further inhibiting the differentiation of hematopoietic progenitor cells (HPC) and exaggerating the mobilization of hematopoietic progenitor cells (HPC) from bone marrow (BM), thereby contributing to </w:t>
      </w:r>
      <w:r w:rsidR="005A14BA">
        <w:rPr>
          <w:bCs/>
          <w:noProof/>
          <w:szCs w:val="22"/>
        </w:rPr>
        <w:t xml:space="preserve">persistent </w:t>
      </w:r>
      <w:r w:rsidRPr="00703EF5">
        <w:rPr>
          <w:bCs/>
          <w:noProof/>
          <w:szCs w:val="22"/>
        </w:rPr>
        <w:t>injury-associated anemia</w:t>
      </w:r>
      <w:r>
        <w:rPr>
          <w:bCs/>
          <w:noProof/>
          <w:szCs w:val="22"/>
        </w:rPr>
        <w:t xml:space="preserve">. </w:t>
      </w:r>
      <w:r w:rsidR="00086497">
        <w:rPr>
          <w:bCs/>
          <w:noProof/>
          <w:szCs w:val="22"/>
        </w:rPr>
        <w:t>This research is supported by the NIH-NIGMS.</w:t>
      </w:r>
    </w:p>
    <w:p w14:paraId="5205AA47" w14:textId="77777777" w:rsidR="006B386B" w:rsidRDefault="006B386B" w:rsidP="006B386B">
      <w:pPr>
        <w:pStyle w:val="DataField11pt-Single"/>
        <w:ind w:left="360" w:right="-90"/>
        <w:rPr>
          <w:noProof/>
          <w:szCs w:val="22"/>
        </w:rPr>
      </w:pPr>
    </w:p>
    <w:p w14:paraId="3E6241CE" w14:textId="77777777" w:rsidR="006B386B" w:rsidRDefault="006B386B" w:rsidP="006B386B">
      <w:pPr>
        <w:pStyle w:val="DataField11pt-Single"/>
        <w:ind w:left="360" w:right="-90"/>
        <w:rPr>
          <w:bCs/>
          <w:noProof/>
        </w:rPr>
      </w:pPr>
      <w:r>
        <w:rPr>
          <w:noProof/>
          <w:szCs w:val="22"/>
        </w:rPr>
        <w:t xml:space="preserve">With regard to </w:t>
      </w:r>
      <w:r w:rsidRPr="006B386B">
        <w:rPr>
          <w:bCs/>
          <w:noProof/>
          <w:szCs w:val="22"/>
        </w:rPr>
        <w:t>ongoing HPC mobilization from the BM, potential</w:t>
      </w:r>
      <w:r w:rsidRPr="00D14BC3">
        <w:rPr>
          <w:bCs/>
          <w:noProof/>
          <w:szCs w:val="22"/>
        </w:rPr>
        <w:t xml:space="preserve"> causative factors that will be studied include increased production or an abnormal response to mediators of HPC mobilization, increased proteolysis within the BM and alterations in the BM architecture.</w:t>
      </w:r>
      <w:r>
        <w:rPr>
          <w:bCs/>
          <w:noProof/>
          <w:szCs w:val="22"/>
        </w:rPr>
        <w:t xml:space="preserve"> </w:t>
      </w:r>
      <w:r w:rsidRPr="004904CA">
        <w:rPr>
          <w:bCs/>
          <w:noProof/>
        </w:rPr>
        <w:t xml:space="preserve">Increased proteolysis </w:t>
      </w:r>
      <w:r>
        <w:rPr>
          <w:bCs/>
          <w:noProof/>
        </w:rPr>
        <w:t xml:space="preserve">(MMP-2, MMP-9, neutrophil elastase) in BM </w:t>
      </w:r>
      <w:r w:rsidRPr="004904CA">
        <w:rPr>
          <w:bCs/>
          <w:noProof/>
        </w:rPr>
        <w:t xml:space="preserve">will be </w:t>
      </w:r>
      <w:r>
        <w:rPr>
          <w:bCs/>
          <w:noProof/>
        </w:rPr>
        <w:t xml:space="preserve">assessed by ELISA. </w:t>
      </w:r>
    </w:p>
    <w:p w14:paraId="5A8357C6" w14:textId="77777777" w:rsidR="006B386B" w:rsidRDefault="006B386B" w:rsidP="006B386B">
      <w:pPr>
        <w:pStyle w:val="DataField11pt-Single"/>
        <w:ind w:left="360" w:right="-90"/>
        <w:rPr>
          <w:bCs/>
          <w:noProof/>
          <w:szCs w:val="22"/>
        </w:rPr>
      </w:pPr>
    </w:p>
    <w:p w14:paraId="7BCB1BE5" w14:textId="77777777" w:rsidR="00703EF5" w:rsidRDefault="006B386B" w:rsidP="00703EF5">
      <w:pPr>
        <w:pStyle w:val="DataField11pt-Single"/>
        <w:ind w:left="360" w:right="-90"/>
        <w:rPr>
          <w:bCs/>
          <w:noProof/>
          <w:szCs w:val="22"/>
        </w:rPr>
      </w:pPr>
      <w:r w:rsidRPr="006B386B">
        <w:t>The medical student will begin an understanding of reviewing scientific literature</w:t>
      </w:r>
      <w:r>
        <w:t xml:space="preserve"> and l</w:t>
      </w:r>
      <w:r w:rsidRPr="006B386B">
        <w:t xml:space="preserve">earn basic science laboratory techniques, including cell culture, RT-PCR, ELISA and western blot. </w:t>
      </w:r>
      <w:r>
        <w:t>He/she will d</w:t>
      </w:r>
      <w:r w:rsidRPr="006B386B">
        <w:t>evelop insight on how basic science research can b</w:t>
      </w:r>
      <w:r>
        <w:t>e applied in the clinical arena.</w:t>
      </w:r>
      <w:r w:rsidR="00703EF5">
        <w:rPr>
          <w:bCs/>
          <w:noProof/>
          <w:szCs w:val="22"/>
        </w:rPr>
        <w:t xml:space="preserve"> They will perform cell cultures, ELISAs, as well as assist with qRT-PCR. The medical student will also perform statistics and report the results from the experiments. </w:t>
      </w:r>
    </w:p>
    <w:p w14:paraId="39FA1FA5" w14:textId="77777777" w:rsidR="00703EF5" w:rsidRDefault="00703EF5" w:rsidP="00703EF5">
      <w:pPr>
        <w:pStyle w:val="DataField11pt-Single"/>
        <w:ind w:left="360" w:right="-90"/>
        <w:rPr>
          <w:bCs/>
          <w:noProof/>
          <w:szCs w:val="22"/>
        </w:rPr>
      </w:pPr>
    </w:p>
    <w:p w14:paraId="3040B168" w14:textId="623CC7FE" w:rsidR="005A14BA" w:rsidRDefault="005A14BA" w:rsidP="005A14BA">
      <w:pPr>
        <w:pStyle w:val="Level2"/>
        <w:numPr>
          <w:ilvl w:val="0"/>
          <w:numId w:val="0"/>
        </w:numPr>
        <w:ind w:left="360"/>
        <w:rPr>
          <w:rFonts w:ascii="Arial" w:hAnsi="Arial" w:cs="Arial"/>
          <w:iCs/>
          <w:sz w:val="22"/>
          <w:szCs w:val="22"/>
        </w:rPr>
      </w:pPr>
      <w:r w:rsidRPr="005A14BA">
        <w:rPr>
          <w:rFonts w:ascii="Arial" w:hAnsi="Arial" w:cs="Arial"/>
          <w:iCs/>
          <w:sz w:val="22"/>
          <w:szCs w:val="22"/>
        </w:rPr>
        <w:t xml:space="preserve">Bible LE, Pasupuleti LV, Gore AV, Sifri ZC, Kannan KB, </w:t>
      </w:r>
      <w:r w:rsidRPr="005A14BA">
        <w:rPr>
          <w:rFonts w:ascii="Arial" w:hAnsi="Arial" w:cs="Arial"/>
          <w:b/>
          <w:iCs/>
          <w:sz w:val="22"/>
          <w:szCs w:val="22"/>
        </w:rPr>
        <w:t>Mohr AM</w:t>
      </w:r>
      <w:r w:rsidRPr="005A14BA">
        <w:rPr>
          <w:rFonts w:ascii="Arial" w:hAnsi="Arial" w:cs="Arial"/>
          <w:iCs/>
          <w:sz w:val="22"/>
          <w:szCs w:val="22"/>
        </w:rPr>
        <w:t xml:space="preserve">. (2015). Daily propranolol prevents prolonged HPC mobilization in a chronic stress and polytrauma model. </w:t>
      </w:r>
      <w:r w:rsidRPr="005A14BA">
        <w:rPr>
          <w:rFonts w:ascii="Arial" w:hAnsi="Arial" w:cs="Arial"/>
          <w:i/>
          <w:iCs/>
          <w:sz w:val="22"/>
          <w:szCs w:val="22"/>
        </w:rPr>
        <w:t>Surgery</w:t>
      </w:r>
      <w:r w:rsidRPr="005A14BA">
        <w:rPr>
          <w:rFonts w:ascii="Arial" w:hAnsi="Arial" w:cs="Arial"/>
          <w:iCs/>
          <w:sz w:val="22"/>
          <w:szCs w:val="22"/>
        </w:rPr>
        <w:t xml:space="preserve"> Epub July 21 PMID: 26209570</w:t>
      </w:r>
    </w:p>
    <w:p w14:paraId="50D13ABB" w14:textId="77777777" w:rsidR="005A14BA" w:rsidRDefault="005A14BA" w:rsidP="005A14BA">
      <w:pPr>
        <w:pStyle w:val="Level2"/>
        <w:numPr>
          <w:ilvl w:val="0"/>
          <w:numId w:val="0"/>
        </w:numPr>
        <w:ind w:left="360"/>
        <w:rPr>
          <w:rFonts w:ascii="Arial" w:hAnsi="Arial" w:cs="Arial"/>
          <w:iCs/>
          <w:sz w:val="22"/>
          <w:szCs w:val="22"/>
        </w:rPr>
      </w:pPr>
    </w:p>
    <w:p w14:paraId="7EB706D5" w14:textId="3B952505" w:rsidR="005A14BA" w:rsidRDefault="005A14BA" w:rsidP="005A14BA">
      <w:pPr>
        <w:pStyle w:val="Level2"/>
        <w:numPr>
          <w:ilvl w:val="0"/>
          <w:numId w:val="0"/>
        </w:numPr>
        <w:ind w:left="360"/>
        <w:rPr>
          <w:rFonts w:ascii="Arial" w:hAnsi="Arial" w:cs="Arial"/>
          <w:iCs/>
          <w:sz w:val="22"/>
          <w:szCs w:val="22"/>
        </w:rPr>
      </w:pPr>
      <w:r w:rsidRPr="005A14BA">
        <w:rPr>
          <w:rFonts w:ascii="Arial" w:hAnsi="Arial" w:cs="Arial"/>
          <w:iCs/>
          <w:sz w:val="22"/>
          <w:szCs w:val="22"/>
        </w:rPr>
        <w:t xml:space="preserve">Bible LE, Pasupuleti LV, Gore AV, Sifri ZC, Kannan KB, </w:t>
      </w:r>
      <w:r w:rsidRPr="005A14BA">
        <w:rPr>
          <w:rFonts w:ascii="Arial" w:hAnsi="Arial" w:cs="Arial"/>
          <w:b/>
          <w:iCs/>
          <w:sz w:val="22"/>
          <w:szCs w:val="22"/>
        </w:rPr>
        <w:t>Mohr AM</w:t>
      </w:r>
      <w:r w:rsidRPr="005A14BA">
        <w:rPr>
          <w:rFonts w:ascii="Arial" w:hAnsi="Arial" w:cs="Arial"/>
          <w:iCs/>
          <w:sz w:val="22"/>
          <w:szCs w:val="22"/>
        </w:rPr>
        <w:t xml:space="preserve">. (2015). Chronic restraint stress after injury and shock is associated with persistent anemia despite prolonged elevation in erythropoietin levels. </w:t>
      </w:r>
      <w:r w:rsidRPr="005A14BA">
        <w:rPr>
          <w:rFonts w:ascii="Arial" w:hAnsi="Arial" w:cs="Arial"/>
          <w:i/>
          <w:iCs/>
          <w:sz w:val="22"/>
          <w:szCs w:val="22"/>
        </w:rPr>
        <w:t>J Trauma Acute Care Surg</w:t>
      </w:r>
      <w:r w:rsidRPr="005A14BA">
        <w:rPr>
          <w:rFonts w:ascii="Arial" w:hAnsi="Arial" w:cs="Arial"/>
          <w:iCs/>
          <w:sz w:val="22"/>
          <w:szCs w:val="22"/>
        </w:rPr>
        <w:t xml:space="preserve"> 79, 91-97. PMID: 26091320</w:t>
      </w:r>
    </w:p>
    <w:p w14:paraId="4E8E13A9" w14:textId="77777777" w:rsidR="005A14BA" w:rsidRPr="005A14BA" w:rsidRDefault="005A14BA" w:rsidP="005A14BA">
      <w:pPr>
        <w:pStyle w:val="Level2"/>
        <w:numPr>
          <w:ilvl w:val="0"/>
          <w:numId w:val="0"/>
        </w:numPr>
        <w:ind w:left="360"/>
        <w:rPr>
          <w:rFonts w:ascii="Arial" w:hAnsi="Arial" w:cs="Arial"/>
          <w:iCs/>
          <w:sz w:val="22"/>
          <w:szCs w:val="22"/>
        </w:rPr>
      </w:pPr>
    </w:p>
    <w:p w14:paraId="4B9CD5BB" w14:textId="05C70183" w:rsidR="00703EF5" w:rsidRPr="006B386B" w:rsidRDefault="005A14BA" w:rsidP="006B386B">
      <w:pPr>
        <w:pStyle w:val="Level2"/>
        <w:numPr>
          <w:ilvl w:val="0"/>
          <w:numId w:val="0"/>
        </w:numPr>
        <w:tabs>
          <w:tab w:val="left" w:pos="360"/>
        </w:tabs>
        <w:ind w:left="360" w:hanging="720"/>
        <w:rPr>
          <w:rFonts w:ascii="Arial" w:hAnsi="Arial" w:cs="Arial"/>
          <w:iCs/>
          <w:sz w:val="22"/>
          <w:szCs w:val="22"/>
        </w:rPr>
      </w:pPr>
      <w:r>
        <w:rPr>
          <w:rFonts w:ascii="Arial" w:hAnsi="Arial" w:cs="Arial"/>
          <w:b/>
          <w:iCs/>
          <w:sz w:val="22"/>
          <w:szCs w:val="22"/>
        </w:rPr>
        <w:tab/>
      </w:r>
      <w:r w:rsidR="00703EF5" w:rsidRPr="00B2009F">
        <w:rPr>
          <w:rFonts w:ascii="Arial" w:hAnsi="Arial" w:cs="Arial"/>
          <w:b/>
          <w:iCs/>
          <w:sz w:val="22"/>
          <w:szCs w:val="22"/>
        </w:rPr>
        <w:t>Mohr AM</w:t>
      </w:r>
      <w:r w:rsidR="00703EF5" w:rsidRPr="00B2009F">
        <w:rPr>
          <w:rFonts w:ascii="Arial" w:hAnsi="Arial" w:cs="Arial"/>
          <w:iCs/>
          <w:sz w:val="22"/>
          <w:szCs w:val="22"/>
        </w:rPr>
        <w:t xml:space="preserve">, Elhassan IO, Hannoush EJ, Sifri ZC, Offin MD, Alzate WD, Rameshwar P, Livingston DH. (2011). Does beta blockade post injury prevent bone marrow suppression? </w:t>
      </w:r>
      <w:r w:rsidR="00703EF5" w:rsidRPr="00B2009F">
        <w:rPr>
          <w:rFonts w:ascii="Arial" w:hAnsi="Arial" w:cs="Arial"/>
          <w:i/>
          <w:iCs/>
          <w:sz w:val="22"/>
          <w:szCs w:val="22"/>
        </w:rPr>
        <w:t xml:space="preserve">J Trauma </w:t>
      </w:r>
      <w:r w:rsidR="00703EF5" w:rsidRPr="00B2009F">
        <w:rPr>
          <w:rFonts w:ascii="Arial" w:hAnsi="Arial" w:cs="Arial"/>
          <w:iCs/>
          <w:sz w:val="22"/>
          <w:szCs w:val="22"/>
        </w:rPr>
        <w:t xml:space="preserve">70, 1043-1050. </w:t>
      </w:r>
    </w:p>
    <w:p w14:paraId="5AC04A23" w14:textId="77777777" w:rsidR="00703EF5" w:rsidRPr="00BC74AD" w:rsidRDefault="00703EF5" w:rsidP="00703EF5">
      <w:pPr>
        <w:pStyle w:val="Level2"/>
        <w:numPr>
          <w:ilvl w:val="0"/>
          <w:numId w:val="0"/>
        </w:numPr>
        <w:tabs>
          <w:tab w:val="left" w:pos="360"/>
        </w:tabs>
        <w:ind w:left="360"/>
        <w:rPr>
          <w:rFonts w:ascii="Arial" w:hAnsi="Arial" w:cs="Arial"/>
          <w:i/>
          <w:iCs/>
          <w:sz w:val="22"/>
          <w:szCs w:val="22"/>
        </w:rPr>
      </w:pPr>
    </w:p>
    <w:p w14:paraId="59A20378" w14:textId="77777777" w:rsidR="00703EF5" w:rsidRDefault="00703EF5" w:rsidP="00703EF5">
      <w:pPr>
        <w:pStyle w:val="DataField11pt-Single"/>
        <w:ind w:left="360" w:right="-90"/>
        <w:rPr>
          <w:bCs/>
          <w:noProof/>
          <w:szCs w:val="22"/>
        </w:rPr>
      </w:pPr>
    </w:p>
    <w:p w14:paraId="376BFF9E" w14:textId="77777777" w:rsidR="00703EF5" w:rsidRPr="00703EF5" w:rsidRDefault="00703EF5" w:rsidP="00703EF5">
      <w:pPr>
        <w:pStyle w:val="DataField11pt-Single"/>
        <w:ind w:left="360" w:right="-90"/>
        <w:rPr>
          <w:b/>
          <w:bCs/>
          <w:noProof/>
          <w:szCs w:val="22"/>
        </w:rPr>
      </w:pPr>
    </w:p>
    <w:sectPr w:rsidR="00703EF5" w:rsidRPr="00703EF5" w:rsidSect="004D34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B493D0"/>
    <w:lvl w:ilvl="0">
      <w:start w:val="1"/>
      <w:numFmt w:val="decimal"/>
      <w:lvlText w:val="%1."/>
      <w:lvlJc w:val="left"/>
      <w:pPr>
        <w:tabs>
          <w:tab w:val="num" w:pos="720"/>
        </w:tabs>
        <w:ind w:left="720" w:hanging="720"/>
      </w:pPr>
      <w:rPr>
        <w:rFonts w:ascii="Times New Roman" w:hAnsi="Times New Roman"/>
        <w:b/>
        <w:sz w:val="22"/>
      </w:rPr>
    </w:lvl>
    <w:lvl w:ilvl="1">
      <w:start w:val="1"/>
      <w:numFmt w:val="upperLetter"/>
      <w:pStyle w:val="Level2"/>
      <w:lvlText w:val="%2."/>
      <w:lvlJc w:val="left"/>
      <w:pPr>
        <w:tabs>
          <w:tab w:val="num" w:pos="1440"/>
        </w:tabs>
        <w:ind w:left="1440" w:hanging="720"/>
      </w:pPr>
      <w:rPr>
        <w: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332C61F8"/>
    <w:multiLevelType w:val="multilevel"/>
    <w:tmpl w:val="BC689240"/>
    <w:lvl w:ilvl="0">
      <w:start w:val="1"/>
      <w:numFmt w:val="decimal"/>
      <w:lvlText w:val="%1."/>
      <w:lvlJc w:val="left"/>
      <w:pPr>
        <w:tabs>
          <w:tab w:val="num" w:pos="720"/>
        </w:tabs>
        <w:ind w:left="720" w:hanging="720"/>
      </w:pPr>
      <w:rPr>
        <w:rFonts w:ascii="Times New Roman" w:hAnsi="Times New Roman"/>
        <w:b/>
        <w:sz w:val="22"/>
      </w:rPr>
    </w:lvl>
    <w:lvl w:ilvl="1">
      <w:start w:val="1"/>
      <w:numFmt w:val="decimal"/>
      <w:lvlText w:val="%2."/>
      <w:lvlJc w:val="left"/>
      <w:pPr>
        <w:tabs>
          <w:tab w:val="num" w:pos="1440"/>
        </w:tabs>
        <w:ind w:left="1440" w:hanging="720"/>
      </w:pPr>
      <w:rPr>
        <w:rFonts w:hint="default"/>
        <w:i w:val="0"/>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rPr>
          <w:i w:val="0"/>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19"/>
    <w:rsid w:val="00086497"/>
    <w:rsid w:val="00204E03"/>
    <w:rsid w:val="004D3419"/>
    <w:rsid w:val="005A14BA"/>
    <w:rsid w:val="006B386B"/>
    <w:rsid w:val="00703EF5"/>
    <w:rsid w:val="007A753B"/>
    <w:rsid w:val="0087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A0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419"/>
    <w:rPr>
      <w:color w:val="0000FF" w:themeColor="hyperlink"/>
      <w:u w:val="single"/>
    </w:rPr>
  </w:style>
  <w:style w:type="paragraph" w:customStyle="1" w:styleId="DataField11pt-Single">
    <w:name w:val="Data Field 11pt-Single"/>
    <w:basedOn w:val="Normal"/>
    <w:rsid w:val="00703EF5"/>
    <w:pPr>
      <w:autoSpaceDE w:val="0"/>
      <w:autoSpaceDN w:val="0"/>
    </w:pPr>
    <w:rPr>
      <w:rFonts w:ascii="Arial" w:eastAsia="Times New Roman" w:hAnsi="Arial" w:cs="Arial"/>
      <w:sz w:val="22"/>
      <w:szCs w:val="20"/>
    </w:rPr>
  </w:style>
  <w:style w:type="paragraph" w:customStyle="1" w:styleId="Level1">
    <w:name w:val="Level 1"/>
    <w:basedOn w:val="Normal"/>
    <w:rsid w:val="00703EF5"/>
    <w:pPr>
      <w:widowControl w:val="0"/>
      <w:numPr>
        <w:numId w:val="2"/>
      </w:numPr>
      <w:ind w:left="1440" w:hanging="720"/>
      <w:outlineLvl w:val="0"/>
    </w:pPr>
    <w:rPr>
      <w:rFonts w:ascii="Times New Roman" w:eastAsia="Times New Roman" w:hAnsi="Times New Roman" w:cs="Times New Roman"/>
      <w:snapToGrid w:val="0"/>
      <w:szCs w:val="20"/>
    </w:rPr>
  </w:style>
  <w:style w:type="paragraph" w:customStyle="1" w:styleId="Level2">
    <w:name w:val="Level 2"/>
    <w:basedOn w:val="Normal"/>
    <w:rsid w:val="00703EF5"/>
    <w:pPr>
      <w:widowControl w:val="0"/>
      <w:numPr>
        <w:ilvl w:val="1"/>
        <w:numId w:val="1"/>
      </w:numPr>
      <w:ind w:left="1440" w:hanging="720"/>
      <w:outlineLvl w:val="1"/>
    </w:pPr>
    <w:rPr>
      <w:rFonts w:ascii="Times New Roman" w:eastAsia="Times New Roman" w:hAnsi="Times New Roman" w:cs="Times New Roman"/>
      <w:snapToGrid w:val="0"/>
      <w:szCs w:val="20"/>
    </w:rPr>
  </w:style>
  <w:style w:type="paragraph" w:styleId="Footer">
    <w:name w:val="footer"/>
    <w:basedOn w:val="Normal"/>
    <w:link w:val="FooterChar"/>
    <w:rsid w:val="006B386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B386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419"/>
    <w:rPr>
      <w:color w:val="0000FF" w:themeColor="hyperlink"/>
      <w:u w:val="single"/>
    </w:rPr>
  </w:style>
  <w:style w:type="paragraph" w:customStyle="1" w:styleId="DataField11pt-Single">
    <w:name w:val="Data Field 11pt-Single"/>
    <w:basedOn w:val="Normal"/>
    <w:rsid w:val="00703EF5"/>
    <w:pPr>
      <w:autoSpaceDE w:val="0"/>
      <w:autoSpaceDN w:val="0"/>
    </w:pPr>
    <w:rPr>
      <w:rFonts w:ascii="Arial" w:eastAsia="Times New Roman" w:hAnsi="Arial" w:cs="Arial"/>
      <w:sz w:val="22"/>
      <w:szCs w:val="20"/>
    </w:rPr>
  </w:style>
  <w:style w:type="paragraph" w:customStyle="1" w:styleId="Level1">
    <w:name w:val="Level 1"/>
    <w:basedOn w:val="Normal"/>
    <w:rsid w:val="00703EF5"/>
    <w:pPr>
      <w:widowControl w:val="0"/>
      <w:numPr>
        <w:numId w:val="2"/>
      </w:numPr>
      <w:ind w:left="1440" w:hanging="720"/>
      <w:outlineLvl w:val="0"/>
    </w:pPr>
    <w:rPr>
      <w:rFonts w:ascii="Times New Roman" w:eastAsia="Times New Roman" w:hAnsi="Times New Roman" w:cs="Times New Roman"/>
      <w:snapToGrid w:val="0"/>
      <w:szCs w:val="20"/>
    </w:rPr>
  </w:style>
  <w:style w:type="paragraph" w:customStyle="1" w:styleId="Level2">
    <w:name w:val="Level 2"/>
    <w:basedOn w:val="Normal"/>
    <w:rsid w:val="00703EF5"/>
    <w:pPr>
      <w:widowControl w:val="0"/>
      <w:numPr>
        <w:ilvl w:val="1"/>
        <w:numId w:val="1"/>
      </w:numPr>
      <w:ind w:left="1440" w:hanging="720"/>
      <w:outlineLvl w:val="1"/>
    </w:pPr>
    <w:rPr>
      <w:rFonts w:ascii="Times New Roman" w:eastAsia="Times New Roman" w:hAnsi="Times New Roman" w:cs="Times New Roman"/>
      <w:snapToGrid w:val="0"/>
      <w:szCs w:val="20"/>
    </w:rPr>
  </w:style>
  <w:style w:type="paragraph" w:styleId="Footer">
    <w:name w:val="footer"/>
    <w:basedOn w:val="Normal"/>
    <w:link w:val="FooterChar"/>
    <w:rsid w:val="006B386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B38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ia.mohr@surgery.uf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Mohr</dc:creator>
  <cp:lastModifiedBy>Murphy,Shawn K</cp:lastModifiedBy>
  <cp:revision>2</cp:revision>
  <dcterms:created xsi:type="dcterms:W3CDTF">2015-09-29T17:37:00Z</dcterms:created>
  <dcterms:modified xsi:type="dcterms:W3CDTF">2015-09-29T17:37:00Z</dcterms:modified>
</cp:coreProperties>
</file>